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8D" w:rsidRPr="00B94EC6" w:rsidRDefault="000F748D" w:rsidP="00021A7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/>
        <w:ind w:left="-426" w:right="-93"/>
        <w:jc w:val="center"/>
        <w:rPr>
          <w:rFonts w:ascii="Garamond" w:hAnsi="Garamond" w:cs="Calibri"/>
          <w:b/>
          <w:bCs/>
          <w:smallCaps/>
          <w:color w:val="000099"/>
          <w:sz w:val="36"/>
          <w:szCs w:val="40"/>
        </w:rPr>
      </w:pPr>
      <w:r w:rsidRPr="00B94EC6">
        <w:rPr>
          <w:rFonts w:ascii="Garamond" w:hAnsi="Garamond" w:cs="Calibri"/>
          <w:b/>
          <w:bCs/>
          <w:smallCaps/>
          <w:color w:val="000099"/>
          <w:sz w:val="36"/>
          <w:szCs w:val="40"/>
        </w:rPr>
        <w:t>Collectif « Mamoudzou en Sécurité »</w:t>
      </w:r>
    </w:p>
    <w:p w:rsidR="00295D14" w:rsidRPr="00B94EC6" w:rsidRDefault="00295D14" w:rsidP="00BD5297">
      <w:pPr>
        <w:widowControl w:val="0"/>
        <w:autoSpaceDE w:val="0"/>
        <w:autoSpaceDN w:val="0"/>
        <w:adjustRightInd w:val="0"/>
        <w:spacing w:after="0"/>
        <w:ind w:left="-426" w:right="-93"/>
        <w:jc w:val="both"/>
        <w:rPr>
          <w:rFonts w:ascii="Garamond" w:hAnsi="Garamond" w:cs="Calibri"/>
          <w:sz w:val="24"/>
          <w:szCs w:val="24"/>
        </w:rPr>
      </w:pPr>
    </w:p>
    <w:p w:rsidR="00C973D0" w:rsidRPr="00B94EC6" w:rsidRDefault="00C973D0" w:rsidP="00FD492E">
      <w:pPr>
        <w:widowControl w:val="0"/>
        <w:autoSpaceDE w:val="0"/>
        <w:autoSpaceDN w:val="0"/>
        <w:adjustRightInd w:val="0"/>
        <w:spacing w:after="0"/>
        <w:ind w:left="-426" w:right="-93"/>
        <w:jc w:val="both"/>
        <w:rPr>
          <w:rFonts w:ascii="Garamond" w:hAnsi="Garamond" w:cs="Calibri"/>
        </w:rPr>
      </w:pPr>
      <w:r w:rsidRPr="00B94EC6">
        <w:rPr>
          <w:rFonts w:ascii="Garamond" w:hAnsi="Garamond" w:cs="Calibri"/>
        </w:rPr>
        <w:t>Au moment où tout Mayotte se mobilise contre l'ins</w:t>
      </w:r>
      <w:r w:rsidR="0030198F" w:rsidRPr="00B94EC6">
        <w:rPr>
          <w:rFonts w:ascii="Garamond" w:hAnsi="Garamond" w:cs="Calibri"/>
        </w:rPr>
        <w:t>écurité, la commune de Mamoudzou sombre</w:t>
      </w:r>
      <w:r w:rsidRPr="00B94EC6">
        <w:rPr>
          <w:rFonts w:ascii="Garamond" w:hAnsi="Garamond" w:cs="Calibri"/>
        </w:rPr>
        <w:t xml:space="preserve"> da</w:t>
      </w:r>
      <w:r w:rsidR="0030198F" w:rsidRPr="00B94EC6">
        <w:rPr>
          <w:rFonts w:ascii="Garamond" w:hAnsi="Garamond" w:cs="Calibri"/>
        </w:rPr>
        <w:t>ns des violences sans précédent</w:t>
      </w:r>
      <w:r w:rsidRPr="00B94EC6">
        <w:rPr>
          <w:rFonts w:ascii="Garamond" w:hAnsi="Garamond" w:cs="Calibri"/>
        </w:rPr>
        <w:t>. La dernière en date est la guérilla urbaine</w:t>
      </w:r>
      <w:r w:rsidR="006C76F2">
        <w:rPr>
          <w:rFonts w:ascii="Garamond" w:hAnsi="Garamond" w:cs="Calibri"/>
        </w:rPr>
        <w:t xml:space="preserve"> </w:t>
      </w:r>
      <w:r w:rsidR="002F7FCB">
        <w:rPr>
          <w:rFonts w:ascii="Garamond" w:hAnsi="Garamond" w:cs="Calibri"/>
        </w:rPr>
        <w:t>dans la</w:t>
      </w:r>
      <w:r w:rsidR="006C76F2">
        <w:rPr>
          <w:rFonts w:ascii="Garamond" w:hAnsi="Garamond" w:cs="Calibri"/>
        </w:rPr>
        <w:t>quelle</w:t>
      </w:r>
      <w:r w:rsidRPr="00B94EC6">
        <w:rPr>
          <w:rFonts w:ascii="Garamond" w:hAnsi="Garamond" w:cs="Calibri"/>
        </w:rPr>
        <w:t xml:space="preserve"> </w:t>
      </w:r>
      <w:r w:rsidR="002F7FCB">
        <w:rPr>
          <w:rFonts w:ascii="Garamond" w:hAnsi="Garamond" w:cs="Calibri"/>
        </w:rPr>
        <w:t>s’</w:t>
      </w:r>
      <w:r w:rsidR="006C76F2">
        <w:rPr>
          <w:rFonts w:ascii="Garamond" w:hAnsi="Garamond" w:cs="Calibri"/>
        </w:rPr>
        <w:t xml:space="preserve">affrontent </w:t>
      </w:r>
      <w:r w:rsidRPr="00B94EC6">
        <w:rPr>
          <w:rFonts w:ascii="Garamond" w:hAnsi="Garamond" w:cs="Calibri"/>
        </w:rPr>
        <w:t xml:space="preserve"> des bandes rivales   </w:t>
      </w:r>
      <w:r w:rsidR="00C672E7">
        <w:rPr>
          <w:rFonts w:ascii="Garamond" w:hAnsi="Garamond" w:cs="Calibri"/>
        </w:rPr>
        <w:t xml:space="preserve">des </w:t>
      </w:r>
      <w:r w:rsidRPr="00B94EC6">
        <w:rPr>
          <w:rFonts w:ascii="Garamond" w:hAnsi="Garamond" w:cs="Calibri"/>
        </w:rPr>
        <w:t>vill</w:t>
      </w:r>
      <w:r w:rsidR="0030198F" w:rsidRPr="00B94EC6">
        <w:rPr>
          <w:rFonts w:ascii="Garamond" w:hAnsi="Garamond" w:cs="Calibri"/>
        </w:rPr>
        <w:t xml:space="preserve">ages de Passamainty et </w:t>
      </w:r>
      <w:r w:rsidR="00C672E7">
        <w:rPr>
          <w:rFonts w:ascii="Garamond" w:hAnsi="Garamond" w:cs="Calibri"/>
        </w:rPr>
        <w:t xml:space="preserve">de </w:t>
      </w:r>
      <w:r w:rsidR="00FE4B55" w:rsidRPr="00B94EC6">
        <w:rPr>
          <w:rFonts w:ascii="Garamond" w:hAnsi="Garamond" w:cs="Calibri"/>
        </w:rPr>
        <w:t>Mtsapéré</w:t>
      </w:r>
      <w:r w:rsidRPr="00B94EC6">
        <w:rPr>
          <w:rFonts w:ascii="Garamond" w:hAnsi="Garamond" w:cs="Calibri"/>
        </w:rPr>
        <w:t>.</w:t>
      </w:r>
    </w:p>
    <w:p w:rsidR="00EE41E3" w:rsidRPr="00B94EC6" w:rsidRDefault="00C973D0" w:rsidP="009A1872">
      <w:pPr>
        <w:widowControl w:val="0"/>
        <w:autoSpaceDE w:val="0"/>
        <w:autoSpaceDN w:val="0"/>
        <w:adjustRightInd w:val="0"/>
        <w:spacing w:after="0"/>
        <w:ind w:left="-425" w:right="-91"/>
        <w:jc w:val="both"/>
        <w:rPr>
          <w:rFonts w:ascii="Garamond" w:hAnsi="Garamond" w:cs="Calibri"/>
        </w:rPr>
      </w:pPr>
      <w:r w:rsidRPr="00B94EC6">
        <w:rPr>
          <w:rFonts w:ascii="Garamond" w:hAnsi="Garamond" w:cs="Calibri"/>
        </w:rPr>
        <w:t xml:space="preserve">Face à </w:t>
      </w:r>
      <w:r w:rsidR="0030198F" w:rsidRPr="00B94EC6">
        <w:rPr>
          <w:rFonts w:ascii="Garamond" w:hAnsi="Garamond" w:cs="Calibri"/>
        </w:rPr>
        <w:t>cela</w:t>
      </w:r>
      <w:r w:rsidRPr="00B94EC6">
        <w:rPr>
          <w:rFonts w:ascii="Garamond" w:hAnsi="Garamond" w:cs="Calibri"/>
        </w:rPr>
        <w:t>, la popul</w:t>
      </w:r>
      <w:r w:rsidR="0030198F" w:rsidRPr="00B94EC6">
        <w:rPr>
          <w:rFonts w:ascii="Garamond" w:hAnsi="Garamond" w:cs="Calibri"/>
        </w:rPr>
        <w:t>ation de la commune de Mamoudzou</w:t>
      </w:r>
      <w:r w:rsidRPr="00B94EC6">
        <w:rPr>
          <w:rFonts w:ascii="Garamond" w:hAnsi="Garamond" w:cs="Calibri"/>
        </w:rPr>
        <w:t xml:space="preserve"> </w:t>
      </w:r>
      <w:r w:rsidR="0030198F" w:rsidRPr="00B94EC6">
        <w:rPr>
          <w:rFonts w:ascii="Garamond" w:hAnsi="Garamond" w:cs="Calibri"/>
        </w:rPr>
        <w:t>demande</w:t>
      </w:r>
      <w:r w:rsidR="00EE41E3" w:rsidRPr="00B94EC6">
        <w:rPr>
          <w:rFonts w:ascii="Garamond" w:hAnsi="Garamond" w:cs="Calibri"/>
        </w:rPr>
        <w:t xml:space="preserve"> </w:t>
      </w:r>
      <w:r w:rsidR="00FE4B55" w:rsidRPr="00B94EC6">
        <w:rPr>
          <w:rFonts w:ascii="Garamond" w:hAnsi="Garamond" w:cs="Calibri"/>
        </w:rPr>
        <w:t xml:space="preserve">au 1er magistrat, </w:t>
      </w:r>
      <w:r w:rsidRPr="00B94EC6">
        <w:rPr>
          <w:rFonts w:ascii="Garamond" w:hAnsi="Garamond" w:cs="Calibri"/>
        </w:rPr>
        <w:t xml:space="preserve">garant de la </w:t>
      </w:r>
      <w:r w:rsidR="0030198F" w:rsidRPr="00B94EC6">
        <w:rPr>
          <w:rFonts w:ascii="Garamond" w:hAnsi="Garamond" w:cs="Calibri"/>
        </w:rPr>
        <w:t>sécurité</w:t>
      </w:r>
      <w:r w:rsidR="00EE41E3" w:rsidRPr="00B94EC6">
        <w:rPr>
          <w:rFonts w:ascii="Garamond" w:hAnsi="Garamond" w:cs="Calibri"/>
        </w:rPr>
        <w:t xml:space="preserve"> publique </w:t>
      </w:r>
      <w:r w:rsidRPr="00B94EC6">
        <w:rPr>
          <w:rFonts w:ascii="Garamond" w:hAnsi="Garamond" w:cs="Calibri"/>
        </w:rPr>
        <w:t>dans sa commune</w:t>
      </w:r>
      <w:r w:rsidR="00FE4B55" w:rsidRPr="00B94EC6">
        <w:rPr>
          <w:rFonts w:ascii="Garamond" w:hAnsi="Garamond" w:cs="Calibri"/>
        </w:rPr>
        <w:t xml:space="preserve">, d’agir dans les </w:t>
      </w:r>
      <w:r w:rsidR="00C672E7">
        <w:rPr>
          <w:rFonts w:ascii="Garamond" w:hAnsi="Garamond" w:cs="Calibri"/>
        </w:rPr>
        <w:t xml:space="preserve">plus </w:t>
      </w:r>
      <w:r w:rsidR="00FE4B55" w:rsidRPr="00B94EC6">
        <w:rPr>
          <w:rFonts w:ascii="Garamond" w:hAnsi="Garamond" w:cs="Calibri"/>
        </w:rPr>
        <w:t xml:space="preserve">brefs délais en mettant en œuvre tous les moyens  à sa </w:t>
      </w:r>
      <w:r w:rsidR="00B76BEF" w:rsidRPr="00B94EC6">
        <w:rPr>
          <w:rFonts w:ascii="Garamond" w:hAnsi="Garamond" w:cs="Calibri"/>
        </w:rPr>
        <w:t xml:space="preserve">disposition. </w:t>
      </w:r>
      <w:r w:rsidR="00EE41E3" w:rsidRPr="00B94EC6">
        <w:rPr>
          <w:rFonts w:ascii="Garamond" w:hAnsi="Garamond" w:cs="Calibri"/>
        </w:rPr>
        <w:t xml:space="preserve">En effet, le maire est l’autorité de police </w:t>
      </w:r>
      <w:r w:rsidR="00B76BEF" w:rsidRPr="00B94EC6">
        <w:rPr>
          <w:rFonts w:ascii="Garamond" w:hAnsi="Garamond" w:cs="Calibri"/>
        </w:rPr>
        <w:t xml:space="preserve">administrative. </w:t>
      </w:r>
      <w:r w:rsidR="00EE41E3" w:rsidRPr="00B94EC6">
        <w:rPr>
          <w:rFonts w:ascii="Garamond" w:hAnsi="Garamond" w:cs="Calibri"/>
        </w:rPr>
        <w:t xml:space="preserve">Il possède donc </w:t>
      </w:r>
      <w:r w:rsidR="00C672E7">
        <w:rPr>
          <w:rFonts w:ascii="Garamond" w:hAnsi="Garamond" w:cs="Calibri"/>
        </w:rPr>
        <w:t xml:space="preserve"> les </w:t>
      </w:r>
      <w:r w:rsidR="00EE41E3" w:rsidRPr="00B94EC6">
        <w:rPr>
          <w:rFonts w:ascii="Garamond" w:hAnsi="Garamond" w:cs="Calibri"/>
        </w:rPr>
        <w:t xml:space="preserve"> pouvoirs de police  lui permettant de mener des missions de sécurité, tranquillité et salubrité publiques. Il exerce ses pouvoirs sous le contrôle administratif du préfet.</w:t>
      </w:r>
    </w:p>
    <w:p w:rsidR="00C973D0" w:rsidRPr="00B94EC6" w:rsidRDefault="00EE41E3" w:rsidP="00AA44F2">
      <w:pPr>
        <w:widowControl w:val="0"/>
        <w:autoSpaceDE w:val="0"/>
        <w:autoSpaceDN w:val="0"/>
        <w:adjustRightInd w:val="0"/>
        <w:ind w:left="-426" w:right="-93"/>
        <w:jc w:val="both"/>
        <w:rPr>
          <w:rFonts w:ascii="Garamond" w:hAnsi="Garamond" w:cs="Calibri"/>
        </w:rPr>
      </w:pPr>
      <w:r w:rsidRPr="00B94EC6">
        <w:rPr>
          <w:rFonts w:ascii="Garamond" w:hAnsi="Garamond" w:cs="Calibri"/>
        </w:rPr>
        <w:t>Par ailleurs, en sa qualité d’officier de police judiciaire, le maire est tenu de signaler sans délai au procureur de la République les crimes et délits dont il a connaissance dans l’exercice de ses fonctions.</w:t>
      </w:r>
    </w:p>
    <w:p w:rsidR="00C973D0" w:rsidRPr="00B94EC6" w:rsidRDefault="00C973D0" w:rsidP="00AA44F2">
      <w:pPr>
        <w:widowControl w:val="0"/>
        <w:autoSpaceDE w:val="0"/>
        <w:autoSpaceDN w:val="0"/>
        <w:adjustRightInd w:val="0"/>
        <w:spacing w:after="0"/>
        <w:ind w:left="-426" w:right="-93"/>
        <w:jc w:val="both"/>
        <w:rPr>
          <w:rFonts w:ascii="Garamond" w:hAnsi="Garamond" w:cs="Calibri"/>
        </w:rPr>
      </w:pPr>
      <w:r w:rsidRPr="00B94EC6">
        <w:rPr>
          <w:rFonts w:ascii="Garamond" w:hAnsi="Garamond" w:cs="Calibri"/>
        </w:rPr>
        <w:t>Les points de r</w:t>
      </w:r>
      <w:r w:rsidR="00021A73" w:rsidRPr="00B94EC6">
        <w:rPr>
          <w:rFonts w:ascii="Garamond" w:hAnsi="Garamond" w:cs="Calibri"/>
        </w:rPr>
        <w:t xml:space="preserve">evendications sont les suivants : </w:t>
      </w:r>
    </w:p>
    <w:p w:rsidR="00295D14" w:rsidRPr="00B94EC6" w:rsidRDefault="00295D14" w:rsidP="000F748D">
      <w:pPr>
        <w:widowControl w:val="0"/>
        <w:autoSpaceDE w:val="0"/>
        <w:autoSpaceDN w:val="0"/>
        <w:adjustRightInd w:val="0"/>
        <w:spacing w:after="0"/>
        <w:ind w:left="-426" w:right="-93"/>
        <w:jc w:val="both"/>
        <w:rPr>
          <w:rFonts w:ascii="Garamond" w:hAnsi="Garamond" w:cs="Calibri"/>
          <w:sz w:val="10"/>
        </w:rPr>
      </w:pPr>
    </w:p>
    <w:tbl>
      <w:tblPr>
        <w:tblW w:w="1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282"/>
        <w:gridCol w:w="6208"/>
      </w:tblGrid>
      <w:tr w:rsidR="00B76BEF" w:rsidRPr="00B94EC6" w:rsidTr="008B3D00">
        <w:trPr>
          <w:jc w:val="center"/>
        </w:trPr>
        <w:tc>
          <w:tcPr>
            <w:tcW w:w="4395" w:type="dxa"/>
            <w:shd w:val="clear" w:color="auto" w:fill="F2F2F2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4"/>
              <w:jc w:val="center"/>
              <w:rPr>
                <w:rFonts w:ascii="Garamond" w:hAnsi="Garamond" w:cs="Calibri"/>
                <w:b/>
              </w:rPr>
            </w:pPr>
            <w:r w:rsidRPr="00B94EC6">
              <w:rPr>
                <w:rFonts w:ascii="Garamond" w:hAnsi="Garamond" w:cs="Calibri"/>
                <w:b/>
              </w:rPr>
              <w:t>Revendications</w:t>
            </w:r>
          </w:p>
        </w:tc>
        <w:tc>
          <w:tcPr>
            <w:tcW w:w="4282" w:type="dxa"/>
            <w:shd w:val="clear" w:color="auto" w:fill="F2F2F2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Objectifs </w:t>
            </w:r>
          </w:p>
        </w:tc>
        <w:tc>
          <w:tcPr>
            <w:tcW w:w="6208" w:type="dxa"/>
            <w:shd w:val="clear" w:color="auto" w:fill="F2F2F2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  <w:b/>
              </w:rPr>
            </w:pPr>
            <w:r w:rsidRPr="00B94EC6">
              <w:rPr>
                <w:rFonts w:ascii="Garamond" w:hAnsi="Garamond" w:cs="Calibri"/>
                <w:b/>
              </w:rPr>
              <w:t>Actions cibles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 w:val="restart"/>
            <w:shd w:val="clear" w:color="auto" w:fill="FFFF00"/>
          </w:tcPr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both"/>
              <w:rPr>
                <w:rFonts w:ascii="Garamond" w:hAnsi="Garamond" w:cs="Calibri"/>
              </w:rPr>
            </w:pPr>
          </w:p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both"/>
              <w:rPr>
                <w:rFonts w:ascii="Garamond" w:hAnsi="Garamond" w:cs="Calibri"/>
              </w:rPr>
            </w:pPr>
          </w:p>
          <w:p w:rsidR="00B76BEF" w:rsidRPr="00676439" w:rsidRDefault="00B76BEF" w:rsidP="00EE380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center"/>
              <w:rPr>
                <w:rFonts w:ascii="Garamond" w:hAnsi="Garamond" w:cs="Calibri"/>
                <w:b/>
              </w:rPr>
            </w:pPr>
            <w:r w:rsidRPr="00676439">
              <w:rPr>
                <w:rFonts w:ascii="Garamond" w:hAnsi="Garamond" w:cs="Calibri"/>
                <w:b/>
              </w:rPr>
              <w:t>Délogement des squatteurs</w:t>
            </w:r>
          </w:p>
        </w:tc>
        <w:tc>
          <w:tcPr>
            <w:tcW w:w="4282" w:type="dxa"/>
            <w:vMerge w:val="restart"/>
            <w:shd w:val="clear" w:color="auto" w:fill="FFFFFF"/>
          </w:tcPr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Lutter contre les occupations illégales par les voyous</w:t>
            </w:r>
          </w:p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Freiner la délinquance de proximité </w:t>
            </w:r>
          </w:p>
        </w:tc>
        <w:tc>
          <w:tcPr>
            <w:tcW w:w="6208" w:type="dxa"/>
            <w:shd w:val="clear" w:color="auto" w:fill="FFFFF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 xml:space="preserve">Recensement des squats et zones à risque 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/>
            <w:shd w:val="clear" w:color="auto" w:fill="FFFF00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 w:hanging="28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B76BEF" w:rsidP="00577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 xml:space="preserve">Démolition des </w:t>
            </w:r>
            <w:r w:rsidR="005772E2">
              <w:rPr>
                <w:rFonts w:ascii="Garamond" w:hAnsi="Garamond" w:cs="Calibri"/>
              </w:rPr>
              <w:t>squats</w:t>
            </w:r>
            <w:r w:rsidRPr="00B94EC6">
              <w:rPr>
                <w:rFonts w:ascii="Garamond" w:hAnsi="Garamond" w:cs="Calibri"/>
              </w:rPr>
              <w:t xml:space="preserve"> ciblés situés sur les terrains appartenant ou non à la mairie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/>
            <w:shd w:val="clear" w:color="auto" w:fill="FFFF00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 w:hanging="28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Transmission au collectif des</w:t>
            </w:r>
            <w:r w:rsidRPr="00B94EC6">
              <w:rPr>
                <w:rFonts w:ascii="Garamond" w:hAnsi="Garamond" w:cs="Calibri"/>
              </w:rPr>
              <w:t xml:space="preserve"> </w:t>
            </w:r>
            <w:r>
              <w:rPr>
                <w:rFonts w:ascii="Garamond" w:hAnsi="Garamond" w:cs="Calibri"/>
              </w:rPr>
              <w:t>A/R</w:t>
            </w:r>
            <w:r w:rsidRPr="00B94EC6">
              <w:rPr>
                <w:rFonts w:ascii="Garamond" w:hAnsi="Garamond" w:cs="Calibri"/>
              </w:rPr>
              <w:t xml:space="preserve"> des courriers envoyés aux propriétaires </w:t>
            </w:r>
            <w:r>
              <w:rPr>
                <w:rFonts w:ascii="Garamond" w:hAnsi="Garamond" w:cs="Calibri"/>
              </w:rPr>
              <w:t>de</w:t>
            </w:r>
            <w:r w:rsidR="005772E2">
              <w:rPr>
                <w:rFonts w:ascii="Garamond" w:hAnsi="Garamond" w:cs="Calibri"/>
              </w:rPr>
              <w:t>s</w:t>
            </w:r>
            <w:r>
              <w:rPr>
                <w:rFonts w:ascii="Garamond" w:hAnsi="Garamond" w:cs="Calibri"/>
              </w:rPr>
              <w:t xml:space="preserve"> terrains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shd w:val="clear" w:color="auto" w:fill="7F7F7F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 w:hanging="28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 w:val="restart"/>
            <w:shd w:val="clear" w:color="auto" w:fill="66FF99"/>
          </w:tcPr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both"/>
              <w:rPr>
                <w:rFonts w:ascii="Garamond" w:hAnsi="Garamond" w:cs="Calibri"/>
              </w:rPr>
            </w:pPr>
          </w:p>
          <w:p w:rsidR="00B76BEF" w:rsidRPr="00B94EC6" w:rsidRDefault="00B76BEF" w:rsidP="00EE380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center"/>
              <w:rPr>
                <w:rFonts w:ascii="Garamond" w:hAnsi="Garamond" w:cs="Calibri"/>
              </w:rPr>
            </w:pPr>
            <w:r w:rsidRPr="00676439">
              <w:rPr>
                <w:rFonts w:ascii="Garamond" w:hAnsi="Garamond" w:cs="Calibri"/>
                <w:b/>
              </w:rPr>
              <w:t>Eclairage public</w:t>
            </w:r>
          </w:p>
        </w:tc>
        <w:tc>
          <w:tcPr>
            <w:tcW w:w="4282" w:type="dxa"/>
            <w:vMerge w:val="restart"/>
            <w:shd w:val="clear" w:color="auto" w:fill="FFFFFF"/>
          </w:tcPr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Faciliter le travail des forces de l’ordre</w:t>
            </w:r>
          </w:p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Conforter et sécuriser les déplacements des populations </w:t>
            </w:r>
          </w:p>
        </w:tc>
        <w:tc>
          <w:tcPr>
            <w:tcW w:w="6208" w:type="dxa"/>
            <w:shd w:val="clear" w:color="auto" w:fill="FFFFF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 xml:space="preserve">Recensement des zones à éclairer 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/>
            <w:shd w:val="clear" w:color="auto" w:fill="66FF99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 w:hanging="28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>Travaux d’entretien et de rénovation d’éclairage public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/>
            <w:shd w:val="clear" w:color="auto" w:fill="66FF99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 w:hanging="28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B76BEF" w:rsidP="00577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 xml:space="preserve">Travaux de création </w:t>
            </w:r>
            <w:r w:rsidR="005772E2">
              <w:rPr>
                <w:rFonts w:ascii="Garamond" w:hAnsi="Garamond" w:cs="Calibri"/>
              </w:rPr>
              <w:t>(renforcement) de l’</w:t>
            </w:r>
            <w:r w:rsidRPr="00B94EC6">
              <w:rPr>
                <w:rFonts w:ascii="Garamond" w:hAnsi="Garamond" w:cs="Calibri"/>
              </w:rPr>
              <w:t>éclairage public</w:t>
            </w:r>
          </w:p>
        </w:tc>
      </w:tr>
      <w:tr w:rsidR="00B76BEF" w:rsidRPr="00B94EC6" w:rsidTr="008B3D00">
        <w:trPr>
          <w:trHeight w:val="113"/>
          <w:jc w:val="center"/>
        </w:trPr>
        <w:tc>
          <w:tcPr>
            <w:tcW w:w="4395" w:type="dxa"/>
            <w:shd w:val="clear" w:color="auto" w:fill="7F7F7F"/>
          </w:tcPr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</w:tr>
      <w:tr w:rsidR="00B76BEF" w:rsidRPr="00B94EC6" w:rsidTr="008B3D00">
        <w:trPr>
          <w:trHeight w:val="298"/>
          <w:jc w:val="center"/>
        </w:trPr>
        <w:tc>
          <w:tcPr>
            <w:tcW w:w="4395" w:type="dxa"/>
            <w:vMerge w:val="restart"/>
            <w:shd w:val="clear" w:color="auto" w:fill="CCECFF"/>
          </w:tcPr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both"/>
              <w:rPr>
                <w:rFonts w:ascii="Garamond" w:hAnsi="Garamond" w:cs="Calibri"/>
              </w:rPr>
            </w:pPr>
          </w:p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both"/>
              <w:rPr>
                <w:rFonts w:ascii="Garamond" w:hAnsi="Garamond" w:cs="Calibri"/>
              </w:rPr>
            </w:pPr>
          </w:p>
          <w:p w:rsidR="00B76BEF" w:rsidRDefault="00B76BEF" w:rsidP="00EE380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4" w:right="434" w:hanging="284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  <w:b/>
              </w:rPr>
              <w:t>Patrouille</w:t>
            </w:r>
            <w:r w:rsidRPr="00676439">
              <w:rPr>
                <w:rFonts w:ascii="Garamond" w:hAnsi="Garamond" w:cs="Calibri"/>
                <w:b/>
              </w:rPr>
              <w:t xml:space="preserve"> Police Municipale</w:t>
            </w:r>
          </w:p>
        </w:tc>
        <w:tc>
          <w:tcPr>
            <w:tcW w:w="4282" w:type="dxa"/>
            <w:vMerge w:val="restart"/>
          </w:tcPr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</w:p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</w:p>
          <w:p w:rsidR="00B76BEF" w:rsidRDefault="005772E2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Mettre en application les arrêtés</w:t>
            </w:r>
            <w:r w:rsidR="00B76BEF">
              <w:rPr>
                <w:rFonts w:ascii="Garamond" w:hAnsi="Garamond" w:cs="Calibri"/>
              </w:rPr>
              <w:t xml:space="preserve"> municipaux</w:t>
            </w:r>
          </w:p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Lutter contre la délinquance de proximité </w:t>
            </w:r>
          </w:p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ind w:right="-93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Freiner l’appropriation des espaces publics par les voyous </w:t>
            </w:r>
          </w:p>
        </w:tc>
        <w:tc>
          <w:tcPr>
            <w:tcW w:w="6208" w:type="dxa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Création d’une brigade de nuit </w:t>
            </w:r>
          </w:p>
        </w:tc>
      </w:tr>
      <w:tr w:rsidR="00B76BEF" w:rsidRPr="00B94EC6" w:rsidTr="008B3D00">
        <w:trPr>
          <w:trHeight w:val="669"/>
          <w:jc w:val="center"/>
        </w:trPr>
        <w:tc>
          <w:tcPr>
            <w:tcW w:w="4395" w:type="dxa"/>
            <w:vMerge/>
            <w:shd w:val="clear" w:color="auto" w:fill="CCECFF"/>
          </w:tcPr>
          <w:p w:rsidR="00B76BEF" w:rsidRPr="00676439" w:rsidRDefault="00B76BEF" w:rsidP="009350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4282" w:type="dxa"/>
            <w:vMerge/>
          </w:tcPr>
          <w:p w:rsidR="00B76BEF" w:rsidRPr="00935024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 xml:space="preserve">Extension de l'amplitude horaire jusqu'à 22h pour la mise en application des arrêtés sur le couvre-feu pour les mineurs et la consommation d'alcool en lieu public 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/>
            <w:shd w:val="clear" w:color="auto" w:fill="CCECFF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>Patrouille policière sur les trajets domicile-école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/>
            <w:shd w:val="clear" w:color="auto" w:fill="CCECFF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P</w:t>
            </w:r>
            <w:r w:rsidRPr="00B94EC6">
              <w:rPr>
                <w:rFonts w:ascii="Garamond" w:hAnsi="Garamond" w:cs="Calibri"/>
              </w:rPr>
              <w:t xml:space="preserve">révention </w:t>
            </w:r>
            <w:r>
              <w:rPr>
                <w:rFonts w:ascii="Garamond" w:hAnsi="Garamond" w:cs="Calibri"/>
              </w:rPr>
              <w:t xml:space="preserve">de la délinquance </w:t>
            </w:r>
            <w:r w:rsidRPr="00B94EC6">
              <w:rPr>
                <w:rFonts w:ascii="Garamond" w:hAnsi="Garamond" w:cs="Calibri"/>
              </w:rPr>
              <w:t>dans les quartiers sensibles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/>
            <w:shd w:val="clear" w:color="auto" w:fill="CCECFF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67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B76BEF" w:rsidP="0067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>R</w:t>
            </w:r>
            <w:r>
              <w:rPr>
                <w:rFonts w:ascii="Garamond" w:hAnsi="Garamond" w:cs="Calibri"/>
              </w:rPr>
              <w:t>ecensement</w:t>
            </w:r>
            <w:r w:rsidRPr="00B94EC6">
              <w:rPr>
                <w:rFonts w:ascii="Garamond" w:hAnsi="Garamond" w:cs="Calibri"/>
              </w:rPr>
              <w:t xml:space="preserve"> </w:t>
            </w:r>
            <w:r>
              <w:rPr>
                <w:rFonts w:ascii="Garamond" w:hAnsi="Garamond" w:cs="Calibri"/>
              </w:rPr>
              <w:t>d</w:t>
            </w:r>
            <w:r w:rsidRPr="00B94EC6">
              <w:rPr>
                <w:rFonts w:ascii="Garamond" w:hAnsi="Garamond" w:cs="Calibri"/>
              </w:rPr>
              <w:t xml:space="preserve">es nouveaux squats 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/>
            <w:shd w:val="clear" w:color="auto" w:fill="CCECFF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AD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B76BEF" w:rsidP="00C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>Publication et communication</w:t>
            </w:r>
            <w:r>
              <w:rPr>
                <w:rFonts w:ascii="Garamond" w:hAnsi="Garamond" w:cs="Calibri"/>
              </w:rPr>
              <w:t xml:space="preserve"> (médias) </w:t>
            </w:r>
            <w:r w:rsidRPr="00B94EC6">
              <w:rPr>
                <w:rFonts w:ascii="Garamond" w:hAnsi="Garamond" w:cs="Calibri"/>
              </w:rPr>
              <w:t xml:space="preserve">des arrêtés sur la sécurité et tranquillité publique  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shd w:val="clear" w:color="auto" w:fill="7F7F7F"/>
          </w:tcPr>
          <w:p w:rsidR="00B76BEF" w:rsidRPr="00676439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4282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 w:val="restart"/>
            <w:shd w:val="clear" w:color="auto" w:fill="FFFF99"/>
          </w:tcPr>
          <w:p w:rsidR="00B76BEF" w:rsidRPr="00676439" w:rsidRDefault="00B76BEF" w:rsidP="00B003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center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Plateforme téléphonique</w:t>
            </w:r>
            <w:r w:rsidRPr="00676439">
              <w:rPr>
                <w:rFonts w:ascii="Garamond" w:hAnsi="Garamond" w:cs="Calibri"/>
                <w:b/>
              </w:rPr>
              <w:t xml:space="preserve"> d’alerte</w:t>
            </w:r>
          </w:p>
        </w:tc>
        <w:tc>
          <w:tcPr>
            <w:tcW w:w="4282" w:type="dxa"/>
            <w:vMerge w:val="restart"/>
            <w:shd w:val="clear" w:color="auto" w:fill="FFFFFF"/>
          </w:tcPr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Freiner les occupations illégales </w:t>
            </w:r>
          </w:p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Dénoncer tous types de trafics dans les quartiers</w:t>
            </w:r>
          </w:p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  <w:shd w:val="clear" w:color="auto" w:fill="FFFFFF"/>
          </w:tcPr>
          <w:p w:rsidR="00B76BEF" w:rsidRPr="00B94EC6" w:rsidRDefault="00B76BEF" w:rsidP="00536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 xml:space="preserve">Création d'un numéro vert permettant d’alerter sur une situation </w:t>
            </w:r>
            <w:r w:rsidR="005360C5">
              <w:rPr>
                <w:rFonts w:ascii="Garamond" w:hAnsi="Garamond" w:cs="Calibri"/>
              </w:rPr>
              <w:t>d’occupation ou de trafic illégale</w:t>
            </w:r>
          </w:p>
        </w:tc>
      </w:tr>
      <w:tr w:rsidR="00B76BEF" w:rsidRPr="00B94EC6" w:rsidTr="008B3D00">
        <w:trPr>
          <w:jc w:val="center"/>
        </w:trPr>
        <w:tc>
          <w:tcPr>
            <w:tcW w:w="4395" w:type="dxa"/>
            <w:vMerge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>Suivi des faits et intervention de la Police Municipale</w:t>
            </w:r>
          </w:p>
        </w:tc>
      </w:tr>
      <w:tr w:rsidR="00B76BEF" w:rsidRPr="00B94EC6" w:rsidTr="008B3D00">
        <w:trPr>
          <w:trHeight w:val="132"/>
          <w:jc w:val="center"/>
        </w:trPr>
        <w:tc>
          <w:tcPr>
            <w:tcW w:w="4395" w:type="dxa"/>
            <w:shd w:val="clear" w:color="auto" w:fill="7F7F7F"/>
          </w:tcPr>
          <w:p w:rsidR="00B76BEF" w:rsidRPr="00676439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4282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</w:tr>
      <w:tr w:rsidR="00B76BEF" w:rsidRPr="00B94EC6" w:rsidTr="008B3D00">
        <w:trPr>
          <w:trHeight w:val="314"/>
          <w:jc w:val="center"/>
        </w:trPr>
        <w:tc>
          <w:tcPr>
            <w:tcW w:w="4395" w:type="dxa"/>
            <w:vMerge w:val="restart"/>
            <w:shd w:val="clear" w:color="auto" w:fill="CCFF66"/>
          </w:tcPr>
          <w:p w:rsidR="00B76BEF" w:rsidRPr="00676439" w:rsidRDefault="00B76BEF" w:rsidP="00B76BE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444" w:right="434" w:hanging="284"/>
              <w:jc w:val="center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Appui psychosocial</w:t>
            </w:r>
          </w:p>
        </w:tc>
        <w:tc>
          <w:tcPr>
            <w:tcW w:w="4282" w:type="dxa"/>
            <w:vMerge w:val="restart"/>
          </w:tcPr>
          <w:p w:rsidR="00B76BEF" w:rsidRDefault="00B76BEF" w:rsidP="00B76BEF">
            <w:pPr>
              <w:widowControl w:val="0"/>
              <w:autoSpaceDE w:val="0"/>
              <w:autoSpaceDN w:val="0"/>
              <w:adjustRightInd w:val="0"/>
              <w:spacing w:after="0"/>
              <w:ind w:right="-93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Accompagner et assister les victimes d’agressions ou d’infractions </w:t>
            </w:r>
          </w:p>
        </w:tc>
        <w:tc>
          <w:tcPr>
            <w:tcW w:w="6208" w:type="dxa"/>
          </w:tcPr>
          <w:p w:rsidR="00B76BEF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Création d’un poste permanent pour l’accompagnement des victimes</w:t>
            </w:r>
          </w:p>
        </w:tc>
      </w:tr>
      <w:tr w:rsidR="00B76BEF" w:rsidRPr="00B94EC6" w:rsidTr="008B3D00">
        <w:trPr>
          <w:trHeight w:val="199"/>
          <w:jc w:val="center"/>
        </w:trPr>
        <w:tc>
          <w:tcPr>
            <w:tcW w:w="4395" w:type="dxa"/>
            <w:vMerge/>
            <w:shd w:val="clear" w:color="auto" w:fill="CCFF66"/>
          </w:tcPr>
          <w:p w:rsidR="00B76BEF" w:rsidRPr="00B94EC6" w:rsidRDefault="00B76BEF" w:rsidP="009350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center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8E36CE" w:rsidRDefault="00B76BEF" w:rsidP="008E3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5360C5" w:rsidP="00536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Mobilisation de la municipalité</w:t>
            </w:r>
            <w:r w:rsidR="00B76BEF">
              <w:rPr>
                <w:rFonts w:ascii="Garamond" w:hAnsi="Garamond" w:cs="Calibri"/>
              </w:rPr>
              <w:t xml:space="preserve"> </w:t>
            </w:r>
            <w:r>
              <w:rPr>
                <w:rFonts w:ascii="Garamond" w:hAnsi="Garamond" w:cs="Calibri"/>
              </w:rPr>
              <w:t xml:space="preserve">auprès des </w:t>
            </w:r>
            <w:r w:rsidR="00B76BEF">
              <w:rPr>
                <w:rFonts w:ascii="Garamond" w:hAnsi="Garamond" w:cs="Calibri"/>
              </w:rPr>
              <w:t xml:space="preserve">victimes </w:t>
            </w:r>
          </w:p>
        </w:tc>
      </w:tr>
      <w:tr w:rsidR="00B76BEF" w:rsidRPr="00B94EC6" w:rsidTr="008B3D00">
        <w:trPr>
          <w:trHeight w:val="228"/>
          <w:jc w:val="center"/>
        </w:trPr>
        <w:tc>
          <w:tcPr>
            <w:tcW w:w="4395" w:type="dxa"/>
            <w:shd w:val="clear" w:color="auto" w:fill="7F7F7F"/>
          </w:tcPr>
          <w:p w:rsidR="00B76BEF" w:rsidRPr="00676439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4282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</w:tr>
      <w:tr w:rsidR="00B76BEF" w:rsidRPr="00B94EC6" w:rsidTr="008B3D00">
        <w:trPr>
          <w:trHeight w:val="260"/>
          <w:jc w:val="center"/>
        </w:trPr>
        <w:tc>
          <w:tcPr>
            <w:tcW w:w="4395" w:type="dxa"/>
            <w:vMerge w:val="restart"/>
            <w:shd w:val="clear" w:color="auto" w:fill="FFCCFF"/>
          </w:tcPr>
          <w:p w:rsidR="00B76BEF" w:rsidRPr="00676439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/>
              <w:jc w:val="both"/>
              <w:rPr>
                <w:rFonts w:ascii="Garamond" w:hAnsi="Garamond" w:cs="Calibri"/>
              </w:rPr>
            </w:pPr>
          </w:p>
          <w:p w:rsidR="00B76BEF" w:rsidRPr="00B94EC6" w:rsidRDefault="00B76BEF" w:rsidP="005360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  <w:b/>
              </w:rPr>
              <w:t>Marchés illégaux</w:t>
            </w:r>
          </w:p>
        </w:tc>
        <w:tc>
          <w:tcPr>
            <w:tcW w:w="4282" w:type="dxa"/>
            <w:vMerge w:val="restart"/>
          </w:tcPr>
          <w:p w:rsidR="00B76BEF" w:rsidRDefault="00B76BEF" w:rsidP="008E36C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Freiner tous types de trafics liés aux marchés illégaux</w:t>
            </w:r>
          </w:p>
          <w:p w:rsidR="00B76BEF" w:rsidRDefault="00B76BEF" w:rsidP="008E36C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Garantir une traçabilité des produits vendus</w:t>
            </w:r>
          </w:p>
          <w:p w:rsidR="00B76BEF" w:rsidRPr="008E36CE" w:rsidRDefault="00B76BEF" w:rsidP="008E36CE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6208" w:type="dxa"/>
          </w:tcPr>
          <w:p w:rsidR="00B76BEF" w:rsidRPr="00B94EC6" w:rsidRDefault="00B76BEF" w:rsidP="00086D0C">
            <w:pPr>
              <w:spacing w:after="0"/>
              <w:jc w:val="both"/>
              <w:rPr>
                <w:rFonts w:ascii="Garamond" w:hAnsi="Garamond"/>
              </w:rPr>
            </w:pPr>
            <w:r w:rsidRPr="00B94EC6">
              <w:rPr>
                <w:rFonts w:ascii="Garamond" w:hAnsi="Garamond"/>
              </w:rPr>
              <w:t xml:space="preserve">Recensement des marchés </w:t>
            </w:r>
            <w:r>
              <w:rPr>
                <w:rFonts w:ascii="Garamond" w:hAnsi="Garamond"/>
              </w:rPr>
              <w:t>illégaux</w:t>
            </w:r>
            <w:r w:rsidRPr="00B94EC6">
              <w:rPr>
                <w:rFonts w:ascii="Garamond" w:hAnsi="Garamond"/>
              </w:rPr>
              <w:t xml:space="preserve"> sur trottoirs et espaces publics </w:t>
            </w:r>
          </w:p>
        </w:tc>
      </w:tr>
      <w:tr w:rsidR="00B76BEF" w:rsidRPr="00B94EC6" w:rsidTr="008B3D00">
        <w:trPr>
          <w:trHeight w:val="260"/>
          <w:jc w:val="center"/>
        </w:trPr>
        <w:tc>
          <w:tcPr>
            <w:tcW w:w="4395" w:type="dxa"/>
            <w:vMerge/>
            <w:shd w:val="clear" w:color="auto" w:fill="FFCCFF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6938AF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6208" w:type="dxa"/>
          </w:tcPr>
          <w:p w:rsidR="00B76BEF" w:rsidRPr="00B94EC6" w:rsidRDefault="00B76BEF" w:rsidP="006938AF">
            <w:pPr>
              <w:spacing w:after="0"/>
              <w:jc w:val="both"/>
              <w:rPr>
                <w:rFonts w:ascii="Garamond" w:hAnsi="Garamond"/>
              </w:rPr>
            </w:pPr>
            <w:r w:rsidRPr="00B94EC6">
              <w:rPr>
                <w:rFonts w:ascii="Garamond" w:hAnsi="Garamond"/>
              </w:rPr>
              <w:t xml:space="preserve">Elimination des marchés </w:t>
            </w:r>
            <w:r w:rsidR="005360C5">
              <w:rPr>
                <w:rFonts w:ascii="Garamond" w:hAnsi="Garamond"/>
              </w:rPr>
              <w:t xml:space="preserve">illégaux </w:t>
            </w:r>
            <w:r w:rsidRPr="00B94EC6">
              <w:rPr>
                <w:rFonts w:ascii="Garamond" w:hAnsi="Garamond"/>
              </w:rPr>
              <w:t xml:space="preserve">identifiés </w:t>
            </w:r>
          </w:p>
        </w:tc>
      </w:tr>
      <w:tr w:rsidR="00B76BEF" w:rsidRPr="00B94EC6" w:rsidTr="008B3D00">
        <w:trPr>
          <w:trHeight w:val="182"/>
          <w:jc w:val="center"/>
        </w:trPr>
        <w:tc>
          <w:tcPr>
            <w:tcW w:w="4395" w:type="dxa"/>
            <w:vMerge/>
            <w:shd w:val="clear" w:color="auto" w:fill="FFCCFF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5C6426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6208" w:type="dxa"/>
          </w:tcPr>
          <w:p w:rsidR="00B76BEF" w:rsidRPr="00B94EC6" w:rsidRDefault="00B76BEF" w:rsidP="005C6426">
            <w:pPr>
              <w:spacing w:after="0"/>
              <w:jc w:val="both"/>
              <w:rPr>
                <w:rFonts w:ascii="Garamond" w:hAnsi="Garamond"/>
              </w:rPr>
            </w:pPr>
            <w:r w:rsidRPr="00B94EC6">
              <w:rPr>
                <w:rFonts w:ascii="Garamond" w:hAnsi="Garamond"/>
              </w:rPr>
              <w:t>Organisation des marchés de proximité</w:t>
            </w:r>
            <w:r w:rsidR="005360C5">
              <w:rPr>
                <w:rFonts w:ascii="Garamond" w:hAnsi="Garamond"/>
              </w:rPr>
              <w:t xml:space="preserve"> dans les villages </w:t>
            </w:r>
          </w:p>
        </w:tc>
      </w:tr>
      <w:tr w:rsidR="00B76BEF" w:rsidRPr="00B94EC6" w:rsidTr="008B3D00">
        <w:trPr>
          <w:trHeight w:val="270"/>
          <w:jc w:val="center"/>
        </w:trPr>
        <w:tc>
          <w:tcPr>
            <w:tcW w:w="4395" w:type="dxa"/>
            <w:vMerge/>
            <w:shd w:val="clear" w:color="auto" w:fill="FFCCFF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6938AF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6208" w:type="dxa"/>
          </w:tcPr>
          <w:p w:rsidR="00B76BEF" w:rsidRPr="00B94EC6" w:rsidRDefault="00B76BEF" w:rsidP="00E910D9">
            <w:pPr>
              <w:spacing w:after="0"/>
              <w:jc w:val="both"/>
              <w:rPr>
                <w:rFonts w:ascii="Garamond" w:hAnsi="Garamond"/>
              </w:rPr>
            </w:pPr>
            <w:r w:rsidRPr="00B94EC6">
              <w:rPr>
                <w:rFonts w:ascii="Garamond" w:hAnsi="Garamond"/>
              </w:rPr>
              <w:t>Contrôle</w:t>
            </w:r>
            <w:r w:rsidR="005360C5">
              <w:rPr>
                <w:rFonts w:ascii="Garamond" w:hAnsi="Garamond"/>
              </w:rPr>
              <w:t xml:space="preserve"> d’identité</w:t>
            </w:r>
            <w:r w:rsidR="00E910D9">
              <w:rPr>
                <w:rFonts w:ascii="Garamond" w:hAnsi="Garamond"/>
              </w:rPr>
              <w:t xml:space="preserve"> des vendeurs et </w:t>
            </w:r>
            <w:r w:rsidRPr="00B94EC6">
              <w:rPr>
                <w:rFonts w:ascii="Garamond" w:hAnsi="Garamond"/>
              </w:rPr>
              <w:t>traç</w:t>
            </w:r>
            <w:r>
              <w:rPr>
                <w:rFonts w:ascii="Garamond" w:hAnsi="Garamond"/>
              </w:rPr>
              <w:t xml:space="preserve">abilité des produits vendus </w:t>
            </w:r>
          </w:p>
        </w:tc>
      </w:tr>
      <w:tr w:rsidR="00B76BEF" w:rsidRPr="00B94EC6" w:rsidTr="008B3D00">
        <w:trPr>
          <w:trHeight w:val="203"/>
          <w:jc w:val="center"/>
        </w:trPr>
        <w:tc>
          <w:tcPr>
            <w:tcW w:w="4395" w:type="dxa"/>
            <w:shd w:val="clear" w:color="auto" w:fill="7F7F7F"/>
          </w:tcPr>
          <w:p w:rsidR="00B76BEF" w:rsidRPr="00676439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</w:tr>
      <w:tr w:rsidR="00B76BEF" w:rsidRPr="00B94EC6" w:rsidTr="008B3D00">
        <w:trPr>
          <w:trHeight w:val="203"/>
          <w:jc w:val="center"/>
        </w:trPr>
        <w:tc>
          <w:tcPr>
            <w:tcW w:w="4395" w:type="dxa"/>
            <w:vMerge w:val="restart"/>
            <w:shd w:val="clear" w:color="auto" w:fill="00FFFF"/>
          </w:tcPr>
          <w:p w:rsidR="00B76BEF" w:rsidRPr="00676439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434"/>
              <w:jc w:val="both"/>
              <w:rPr>
                <w:rFonts w:ascii="Garamond" w:hAnsi="Garamond" w:cs="Calibri"/>
              </w:rPr>
            </w:pPr>
          </w:p>
          <w:p w:rsidR="00B76BEF" w:rsidRPr="00676439" w:rsidRDefault="00B76BEF" w:rsidP="00A358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4" w:right="434" w:hanging="284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  <w:b/>
                <w:shd w:val="clear" w:color="auto" w:fill="00FFFF"/>
              </w:rPr>
              <w:t>Attestations d'hébergement</w:t>
            </w:r>
            <w:r w:rsidRPr="00676439">
              <w:rPr>
                <w:rFonts w:ascii="Garamond" w:hAnsi="Garamond" w:cs="Calibri"/>
                <w:b/>
                <w:shd w:val="clear" w:color="auto" w:fill="00FFFF"/>
              </w:rPr>
              <w:t xml:space="preserve"> </w:t>
            </w:r>
          </w:p>
        </w:tc>
        <w:tc>
          <w:tcPr>
            <w:tcW w:w="4282" w:type="dxa"/>
            <w:vMerge w:val="restart"/>
          </w:tcPr>
          <w:p w:rsidR="00B76BEF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  <w:p w:rsidR="00B76BEF" w:rsidRDefault="00B76BEF" w:rsidP="008E36CE">
            <w:pPr>
              <w:jc w:val="center"/>
              <w:rPr>
                <w:rFonts w:ascii="Garamond" w:hAnsi="Garamond" w:cs="Calibri"/>
              </w:rPr>
            </w:pPr>
            <w:r w:rsidRPr="008E36CE">
              <w:rPr>
                <w:rFonts w:ascii="Garamond" w:hAnsi="Garamond"/>
              </w:rPr>
              <w:t>Responsabiliser les administrés sur les risques liés aux trafics de papiers</w:t>
            </w:r>
            <w:r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6208" w:type="dxa"/>
          </w:tcPr>
          <w:p w:rsidR="00B76BEF" w:rsidRPr="00B94EC6" w:rsidRDefault="00B76BEF" w:rsidP="00E9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>Convoquer les personnes qui fournissent</w:t>
            </w:r>
            <w:r w:rsidR="00E910D9">
              <w:rPr>
                <w:rFonts w:ascii="Garamond" w:hAnsi="Garamond" w:cs="Calibri"/>
              </w:rPr>
              <w:t xml:space="preserve"> des attestations d'hébergement</w:t>
            </w:r>
            <w:r w:rsidRPr="00B94EC6">
              <w:rPr>
                <w:rFonts w:ascii="Garamond" w:hAnsi="Garamond" w:cs="Calibri"/>
              </w:rPr>
              <w:t xml:space="preserve"> avant de valider les dossiers administratifs </w:t>
            </w:r>
            <w:r>
              <w:rPr>
                <w:rFonts w:ascii="Garamond" w:hAnsi="Garamond" w:cs="Calibri"/>
              </w:rPr>
              <w:t xml:space="preserve">de ces </w:t>
            </w:r>
            <w:r w:rsidRPr="00B94EC6">
              <w:rPr>
                <w:rFonts w:ascii="Garamond" w:hAnsi="Garamond" w:cs="Calibri"/>
              </w:rPr>
              <w:t xml:space="preserve"> personnes</w:t>
            </w:r>
          </w:p>
        </w:tc>
      </w:tr>
      <w:tr w:rsidR="00B76BEF" w:rsidRPr="00B94EC6" w:rsidTr="008B3D00">
        <w:trPr>
          <w:trHeight w:val="203"/>
          <w:jc w:val="center"/>
        </w:trPr>
        <w:tc>
          <w:tcPr>
            <w:tcW w:w="4395" w:type="dxa"/>
            <w:vMerge/>
            <w:shd w:val="clear" w:color="auto" w:fill="00FFFF"/>
          </w:tcPr>
          <w:p w:rsidR="00B76BEF" w:rsidRPr="00B94EC6" w:rsidRDefault="00B76BEF" w:rsidP="009350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8E36CE" w:rsidRDefault="00B76BEF" w:rsidP="008E36CE">
            <w:pPr>
              <w:spacing w:after="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E910D9" w:rsidP="00E9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Transmission</w:t>
            </w:r>
            <w:r w:rsidR="00B76BEF">
              <w:rPr>
                <w:rFonts w:ascii="Garamond" w:hAnsi="Garamond" w:cs="Calibri"/>
              </w:rPr>
              <w:t xml:space="preserve"> d’une note à destination des agents de l’Etat Civil quant au respect de cette </w:t>
            </w:r>
            <w:r>
              <w:rPr>
                <w:rFonts w:ascii="Garamond" w:hAnsi="Garamond" w:cs="Calibri"/>
              </w:rPr>
              <w:t>mesure</w:t>
            </w:r>
            <w:r w:rsidR="00B76BEF">
              <w:rPr>
                <w:rFonts w:ascii="Garamond" w:hAnsi="Garamond" w:cs="Calibri"/>
              </w:rPr>
              <w:t xml:space="preserve"> </w:t>
            </w:r>
          </w:p>
        </w:tc>
      </w:tr>
      <w:tr w:rsidR="00B76BEF" w:rsidRPr="00B94EC6" w:rsidTr="008B3D00">
        <w:trPr>
          <w:trHeight w:val="203"/>
          <w:jc w:val="center"/>
        </w:trPr>
        <w:tc>
          <w:tcPr>
            <w:tcW w:w="4395" w:type="dxa"/>
            <w:vMerge/>
            <w:shd w:val="clear" w:color="auto" w:fill="00FFFF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 xml:space="preserve">Mise en place d’un registre </w:t>
            </w:r>
            <w:r w:rsidR="00E910D9">
              <w:rPr>
                <w:rFonts w:ascii="Garamond" w:hAnsi="Garamond" w:cs="Calibri"/>
              </w:rPr>
              <w:t xml:space="preserve">de </w:t>
            </w:r>
            <w:r w:rsidRPr="00B94EC6">
              <w:rPr>
                <w:rFonts w:ascii="Garamond" w:hAnsi="Garamond" w:cs="Calibri"/>
              </w:rPr>
              <w:t xml:space="preserve">suivi des attestations d’hébergement </w:t>
            </w:r>
          </w:p>
        </w:tc>
      </w:tr>
      <w:tr w:rsidR="00B76BEF" w:rsidRPr="00B94EC6" w:rsidTr="008B3D00">
        <w:trPr>
          <w:trHeight w:val="203"/>
          <w:jc w:val="center"/>
        </w:trPr>
        <w:tc>
          <w:tcPr>
            <w:tcW w:w="4395" w:type="dxa"/>
            <w:shd w:val="clear" w:color="auto" w:fill="7F7F7F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  <w:shd w:val="clear" w:color="auto" w:fill="7F7F7F"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</w:tr>
      <w:tr w:rsidR="00B76BEF" w:rsidRPr="00B94EC6" w:rsidTr="008B3D00">
        <w:trPr>
          <w:trHeight w:val="513"/>
          <w:jc w:val="center"/>
        </w:trPr>
        <w:tc>
          <w:tcPr>
            <w:tcW w:w="4395" w:type="dxa"/>
            <w:vMerge w:val="restart"/>
            <w:shd w:val="clear" w:color="auto" w:fill="FFFF99"/>
          </w:tcPr>
          <w:p w:rsidR="00B76BEF" w:rsidRPr="00676439" w:rsidRDefault="00B76BEF" w:rsidP="00935024">
            <w:pPr>
              <w:widowControl w:val="0"/>
              <w:shd w:val="clear" w:color="auto" w:fill="FFFF99"/>
              <w:autoSpaceDE w:val="0"/>
              <w:autoSpaceDN w:val="0"/>
              <w:adjustRightInd w:val="0"/>
              <w:spacing w:after="0" w:line="240" w:lineRule="auto"/>
              <w:ind w:left="444" w:right="434"/>
              <w:jc w:val="both"/>
              <w:rPr>
                <w:rFonts w:ascii="Garamond" w:hAnsi="Garamond" w:cs="Calibri"/>
              </w:rPr>
            </w:pPr>
          </w:p>
          <w:p w:rsidR="00B76BEF" w:rsidRPr="00B94EC6" w:rsidRDefault="00B76BEF" w:rsidP="00E910D9">
            <w:pPr>
              <w:widowControl w:val="0"/>
              <w:numPr>
                <w:ilvl w:val="0"/>
                <w:numId w:val="4"/>
              </w:numPr>
              <w:shd w:val="clear" w:color="auto" w:fill="FFFF99"/>
              <w:autoSpaceDE w:val="0"/>
              <w:autoSpaceDN w:val="0"/>
              <w:adjustRightInd w:val="0"/>
              <w:spacing w:after="0" w:line="240" w:lineRule="auto"/>
              <w:ind w:left="444" w:right="434" w:hanging="284"/>
              <w:jc w:val="both"/>
              <w:rPr>
                <w:rFonts w:ascii="Garamond" w:hAnsi="Garamond" w:cs="Calibri"/>
              </w:rPr>
            </w:pPr>
            <w:r w:rsidRPr="00676439">
              <w:rPr>
                <w:rFonts w:ascii="Garamond" w:hAnsi="Garamond" w:cs="Calibri"/>
                <w:b/>
              </w:rPr>
              <w:t>Service rappel à l’ordre</w:t>
            </w:r>
            <w:r w:rsidRPr="00B94EC6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4282" w:type="dxa"/>
            <w:vMerge w:val="restart"/>
          </w:tcPr>
          <w:p w:rsidR="00B76BEF" w:rsidRDefault="00B76BEF" w:rsidP="008E36CE">
            <w:pPr>
              <w:jc w:val="center"/>
              <w:rPr>
                <w:rFonts w:ascii="Garamond" w:hAnsi="Garamond"/>
              </w:rPr>
            </w:pPr>
            <w:r w:rsidRPr="008E36CE">
              <w:rPr>
                <w:rFonts w:ascii="Garamond" w:hAnsi="Garamond"/>
              </w:rPr>
              <w:t xml:space="preserve">Responsabiliser les </w:t>
            </w:r>
            <w:r w:rsidR="00E910D9">
              <w:rPr>
                <w:rFonts w:ascii="Garamond" w:hAnsi="Garamond"/>
              </w:rPr>
              <w:t xml:space="preserve">parents sur l’éducation et leurs </w:t>
            </w:r>
            <w:r>
              <w:rPr>
                <w:rFonts w:ascii="Garamond" w:hAnsi="Garamond"/>
              </w:rPr>
              <w:t>devoirs envers leurs enfants</w:t>
            </w:r>
          </w:p>
          <w:p w:rsidR="00E910D9" w:rsidRPr="008E36CE" w:rsidRDefault="00E910D9" w:rsidP="008E36CE">
            <w:pPr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/>
              </w:rPr>
              <w:t>Responsabiliser les jeunes sur leur comportement et rappeler leur devoir</w:t>
            </w:r>
          </w:p>
        </w:tc>
        <w:tc>
          <w:tcPr>
            <w:tcW w:w="6208" w:type="dxa"/>
          </w:tcPr>
          <w:p w:rsidR="00B76BEF" w:rsidRPr="00B94EC6" w:rsidRDefault="00B76BEF" w:rsidP="006938AF">
            <w:pPr>
              <w:widowControl w:val="0"/>
              <w:autoSpaceDE w:val="0"/>
              <w:autoSpaceDN w:val="0"/>
              <w:adjustRightInd w:val="0"/>
              <w:spacing w:after="0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>Réactiver le Service de rappel à l'ordre en convoquant les parents des mineurs ayant commis des actes de violence ou d’incivilité</w:t>
            </w:r>
          </w:p>
        </w:tc>
      </w:tr>
      <w:tr w:rsidR="00B76BEF" w:rsidRPr="00B94EC6" w:rsidTr="008B3D00">
        <w:trPr>
          <w:trHeight w:val="283"/>
          <w:jc w:val="center"/>
        </w:trPr>
        <w:tc>
          <w:tcPr>
            <w:tcW w:w="4395" w:type="dxa"/>
            <w:vMerge/>
            <w:shd w:val="clear" w:color="auto" w:fill="FFFF99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6938AF">
            <w:pPr>
              <w:widowControl w:val="0"/>
              <w:autoSpaceDE w:val="0"/>
              <w:autoSpaceDN w:val="0"/>
              <w:adjustRightInd w:val="0"/>
              <w:spacing w:after="0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E910D9" w:rsidP="00E910D9">
            <w:pPr>
              <w:widowControl w:val="0"/>
              <w:autoSpaceDE w:val="0"/>
              <w:autoSpaceDN w:val="0"/>
              <w:adjustRightInd w:val="0"/>
              <w:spacing w:after="0"/>
              <w:ind w:right="-93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Impliquer </w:t>
            </w:r>
            <w:r w:rsidR="00B76BEF" w:rsidRPr="00B94EC6">
              <w:rPr>
                <w:rFonts w:ascii="Garamond" w:hAnsi="Garamond" w:cs="Calibri"/>
              </w:rPr>
              <w:t xml:space="preserve">le Collectif </w:t>
            </w:r>
            <w:r>
              <w:rPr>
                <w:rFonts w:ascii="Garamond" w:hAnsi="Garamond" w:cs="Calibri"/>
              </w:rPr>
              <w:t>dans le suivi</w:t>
            </w:r>
          </w:p>
        </w:tc>
      </w:tr>
      <w:tr w:rsidR="00B76BEF" w:rsidRPr="00B94EC6" w:rsidTr="008B3D00">
        <w:trPr>
          <w:trHeight w:val="214"/>
          <w:jc w:val="center"/>
        </w:trPr>
        <w:tc>
          <w:tcPr>
            <w:tcW w:w="4395" w:type="dxa"/>
            <w:shd w:val="clear" w:color="auto" w:fill="7F7F7F"/>
          </w:tcPr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 w:right="434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4282" w:type="dxa"/>
            <w:vMerge/>
            <w:shd w:val="clear" w:color="auto" w:fill="7F7F7F"/>
          </w:tcPr>
          <w:p w:rsidR="00B76BEF" w:rsidRPr="00B94EC6" w:rsidRDefault="00B76BEF" w:rsidP="00B9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  <w:shd w:val="clear" w:color="auto" w:fill="7F7F7F"/>
          </w:tcPr>
          <w:p w:rsidR="00B76BEF" w:rsidRPr="00B94EC6" w:rsidRDefault="00B76BEF" w:rsidP="00B9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</w:tr>
      <w:tr w:rsidR="00B76BEF" w:rsidRPr="00B94EC6" w:rsidTr="008B3D00">
        <w:trPr>
          <w:trHeight w:val="214"/>
          <w:jc w:val="center"/>
        </w:trPr>
        <w:tc>
          <w:tcPr>
            <w:tcW w:w="4395" w:type="dxa"/>
            <w:vMerge w:val="restart"/>
            <w:shd w:val="clear" w:color="auto" w:fill="CC99FF"/>
          </w:tcPr>
          <w:p w:rsidR="00B76BEF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 w:right="434"/>
              <w:jc w:val="both"/>
              <w:rPr>
                <w:rFonts w:ascii="Garamond" w:hAnsi="Garamond" w:cs="Calibri"/>
                <w:b/>
              </w:rPr>
            </w:pPr>
          </w:p>
          <w:p w:rsidR="00B76BEF" w:rsidRPr="00FD492E" w:rsidRDefault="00B76BEF" w:rsidP="009350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40" w:right="434" w:hanging="284"/>
              <w:jc w:val="both"/>
              <w:rPr>
                <w:rFonts w:ascii="Garamond" w:hAnsi="Garamond" w:cs="Calibri"/>
                <w:b/>
              </w:rPr>
            </w:pPr>
            <w:r w:rsidRPr="00676439">
              <w:rPr>
                <w:rFonts w:ascii="Garamond" w:hAnsi="Garamond" w:cs="Calibri"/>
                <w:b/>
              </w:rPr>
              <w:t xml:space="preserve">Entretien des espaces publics </w:t>
            </w:r>
          </w:p>
        </w:tc>
        <w:tc>
          <w:tcPr>
            <w:tcW w:w="4282" w:type="dxa"/>
            <w:vMerge w:val="restart"/>
          </w:tcPr>
          <w:p w:rsidR="00B76BEF" w:rsidRDefault="00E910D9" w:rsidP="008E36CE">
            <w:pPr>
              <w:spacing w:after="0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Eliminer</w:t>
            </w:r>
            <w:r w:rsidR="00B76BEF">
              <w:rPr>
                <w:rFonts w:ascii="Garamond" w:hAnsi="Garamond" w:cs="Calibri"/>
              </w:rPr>
              <w:t xml:space="preserve"> les cachettes des voyous</w:t>
            </w:r>
            <w:r>
              <w:rPr>
                <w:rFonts w:ascii="Garamond" w:hAnsi="Garamond" w:cs="Calibri"/>
              </w:rPr>
              <w:t xml:space="preserve"> aux abords de l’espace public (chemins, routes, plages,…)</w:t>
            </w:r>
          </w:p>
          <w:p w:rsidR="00B76BEF" w:rsidRPr="008E36CE" w:rsidRDefault="00EB6333" w:rsidP="008E36CE">
            <w:pPr>
              <w:spacing w:after="0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Destiner</w:t>
            </w:r>
            <w:r w:rsidR="00B76BEF">
              <w:rPr>
                <w:rFonts w:ascii="Garamond" w:hAnsi="Garamond" w:cs="Calibri"/>
              </w:rPr>
              <w:t xml:space="preserve"> les espaces publics à d’autres usages </w:t>
            </w:r>
          </w:p>
        </w:tc>
        <w:tc>
          <w:tcPr>
            <w:tcW w:w="6208" w:type="dxa"/>
          </w:tcPr>
          <w:p w:rsidR="00B76BEF" w:rsidRPr="00B94EC6" w:rsidRDefault="00B76BEF" w:rsidP="00EB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 w:rsidRPr="00B94EC6">
              <w:rPr>
                <w:rFonts w:ascii="Garamond" w:hAnsi="Garamond" w:cs="Calibri"/>
              </w:rPr>
              <w:t xml:space="preserve">Recensement des </w:t>
            </w:r>
            <w:r w:rsidR="00EB6333">
              <w:rPr>
                <w:rFonts w:ascii="Garamond" w:hAnsi="Garamond" w:cs="Calibri"/>
              </w:rPr>
              <w:t xml:space="preserve">zones à entretenir aux abords des voies publics </w:t>
            </w:r>
            <w:r w:rsidRPr="00B94EC6">
              <w:rPr>
                <w:rFonts w:ascii="Garamond" w:hAnsi="Garamond" w:cs="Calibri"/>
              </w:rPr>
              <w:t xml:space="preserve"> </w:t>
            </w:r>
          </w:p>
        </w:tc>
      </w:tr>
      <w:tr w:rsidR="00B76BEF" w:rsidRPr="00B94EC6" w:rsidTr="008B3D00">
        <w:trPr>
          <w:trHeight w:val="283"/>
          <w:jc w:val="center"/>
        </w:trPr>
        <w:tc>
          <w:tcPr>
            <w:tcW w:w="4395" w:type="dxa"/>
            <w:vMerge/>
            <w:shd w:val="clear" w:color="auto" w:fill="CC99FF"/>
          </w:tcPr>
          <w:p w:rsidR="00B76BEF" w:rsidRPr="00B94EC6" w:rsidRDefault="00B76BEF" w:rsidP="0093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34"/>
              <w:jc w:val="both"/>
              <w:rPr>
                <w:rFonts w:ascii="Garamond" w:hAnsi="Garamond" w:cs="Calibri"/>
              </w:rPr>
            </w:pPr>
          </w:p>
        </w:tc>
        <w:tc>
          <w:tcPr>
            <w:tcW w:w="4282" w:type="dxa"/>
            <w:vMerge/>
          </w:tcPr>
          <w:p w:rsidR="00B76BEF" w:rsidRPr="00B94EC6" w:rsidRDefault="00B76BEF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</w:p>
        </w:tc>
        <w:tc>
          <w:tcPr>
            <w:tcW w:w="6208" w:type="dxa"/>
          </w:tcPr>
          <w:p w:rsidR="00B76BEF" w:rsidRPr="00B94EC6" w:rsidRDefault="00EB6333" w:rsidP="005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Assurer un </w:t>
            </w:r>
            <w:r w:rsidR="00B76BEF" w:rsidRPr="00B94EC6">
              <w:rPr>
                <w:rFonts w:ascii="Garamond" w:hAnsi="Garamond" w:cs="Calibri"/>
              </w:rPr>
              <w:t>entretien</w:t>
            </w:r>
            <w:r>
              <w:rPr>
                <w:rFonts w:ascii="Garamond" w:hAnsi="Garamond" w:cs="Calibri"/>
              </w:rPr>
              <w:t xml:space="preserve"> permanent de ces zones </w:t>
            </w:r>
          </w:p>
        </w:tc>
      </w:tr>
    </w:tbl>
    <w:p w:rsidR="00C973D0" w:rsidRDefault="00C973D0" w:rsidP="00EE41E3">
      <w:pPr>
        <w:widowControl w:val="0"/>
        <w:autoSpaceDE w:val="0"/>
        <w:autoSpaceDN w:val="0"/>
        <w:adjustRightInd w:val="0"/>
        <w:ind w:right="-93"/>
        <w:jc w:val="both"/>
        <w:rPr>
          <w:rFonts w:ascii="Garamond" w:hAnsi="Garamond" w:cs="Calibri"/>
        </w:rPr>
      </w:pPr>
    </w:p>
    <w:p w:rsidR="008B3D00" w:rsidRDefault="008B3D00" w:rsidP="00EE41E3">
      <w:pPr>
        <w:widowControl w:val="0"/>
        <w:autoSpaceDE w:val="0"/>
        <w:autoSpaceDN w:val="0"/>
        <w:adjustRightInd w:val="0"/>
        <w:ind w:right="-93"/>
        <w:jc w:val="both"/>
        <w:rPr>
          <w:rFonts w:ascii="Garamond" w:hAnsi="Garamond" w:cs="Calibri"/>
        </w:rPr>
      </w:pPr>
    </w:p>
    <w:p w:rsidR="009A1872" w:rsidRPr="008B3D00" w:rsidRDefault="008B3D00" w:rsidP="008B3D00">
      <w:pPr>
        <w:tabs>
          <w:tab w:val="left" w:pos="8647"/>
        </w:tabs>
        <w:rPr>
          <w:rFonts w:ascii="Garamond" w:hAnsi="Garamond" w:cs="Calibri"/>
          <w:b/>
        </w:rPr>
      </w:pPr>
      <w:r>
        <w:rPr>
          <w:rFonts w:ascii="Garamond" w:hAnsi="Garamond" w:cs="Calibri"/>
        </w:rPr>
        <w:tab/>
      </w:r>
      <w:bookmarkStart w:id="0" w:name="_GoBack"/>
      <w:r w:rsidRPr="008B3D00">
        <w:rPr>
          <w:rFonts w:ascii="Garamond" w:hAnsi="Garamond" w:cs="Calibri"/>
          <w:b/>
          <w:sz w:val="36"/>
        </w:rPr>
        <w:t xml:space="preserve">Collectif </w:t>
      </w:r>
      <w:bookmarkEnd w:id="0"/>
      <w:r w:rsidRPr="008B3D00">
        <w:rPr>
          <w:rFonts w:ascii="Garamond" w:hAnsi="Garamond" w:cs="Calibri"/>
          <w:b/>
          <w:sz w:val="36"/>
        </w:rPr>
        <w:t xml:space="preserve">Mamoudzou en Sécurité  </w:t>
      </w:r>
    </w:p>
    <w:sectPr w:rsidR="009A1872" w:rsidRPr="008B3D00" w:rsidSect="008B3D00">
      <w:pgSz w:w="15840" w:h="12240" w:orient="landscape"/>
      <w:pgMar w:top="1276" w:right="851" w:bottom="48" w:left="85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FC" w:rsidRDefault="00C35DFC" w:rsidP="000F748D">
      <w:pPr>
        <w:spacing w:after="0" w:line="240" w:lineRule="auto"/>
      </w:pPr>
      <w:r>
        <w:separator/>
      </w:r>
    </w:p>
  </w:endnote>
  <w:endnote w:type="continuationSeparator" w:id="0">
    <w:p w:rsidR="00C35DFC" w:rsidRDefault="00C35DFC" w:rsidP="000F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FC" w:rsidRDefault="00C35DFC" w:rsidP="000F748D">
      <w:pPr>
        <w:spacing w:after="0" w:line="240" w:lineRule="auto"/>
      </w:pPr>
      <w:r>
        <w:separator/>
      </w:r>
    </w:p>
  </w:footnote>
  <w:footnote w:type="continuationSeparator" w:id="0">
    <w:p w:rsidR="00C35DFC" w:rsidRDefault="00C35DFC" w:rsidP="000F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134F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B5672"/>
    <w:multiLevelType w:val="hybridMultilevel"/>
    <w:tmpl w:val="40C898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56229"/>
    <w:multiLevelType w:val="hybridMultilevel"/>
    <w:tmpl w:val="330CCCCA"/>
    <w:lvl w:ilvl="0" w:tplc="040C000F">
      <w:start w:val="1"/>
      <w:numFmt w:val="decimal"/>
      <w:lvlText w:val="%1."/>
      <w:lvlJc w:val="left"/>
      <w:pPr>
        <w:ind w:left="1038" w:hanging="360"/>
      </w:pPr>
    </w:lvl>
    <w:lvl w:ilvl="1" w:tplc="040C0019" w:tentative="1">
      <w:start w:val="1"/>
      <w:numFmt w:val="lowerLetter"/>
      <w:lvlText w:val="%2."/>
      <w:lvlJc w:val="left"/>
      <w:pPr>
        <w:ind w:left="1758" w:hanging="360"/>
      </w:pPr>
    </w:lvl>
    <w:lvl w:ilvl="2" w:tplc="040C001B" w:tentative="1">
      <w:start w:val="1"/>
      <w:numFmt w:val="lowerRoman"/>
      <w:lvlText w:val="%3."/>
      <w:lvlJc w:val="right"/>
      <w:pPr>
        <w:ind w:left="2478" w:hanging="180"/>
      </w:pPr>
    </w:lvl>
    <w:lvl w:ilvl="3" w:tplc="040C000F" w:tentative="1">
      <w:start w:val="1"/>
      <w:numFmt w:val="decimal"/>
      <w:lvlText w:val="%4."/>
      <w:lvlJc w:val="left"/>
      <w:pPr>
        <w:ind w:left="3198" w:hanging="360"/>
      </w:pPr>
    </w:lvl>
    <w:lvl w:ilvl="4" w:tplc="040C0019" w:tentative="1">
      <w:start w:val="1"/>
      <w:numFmt w:val="lowerLetter"/>
      <w:lvlText w:val="%5."/>
      <w:lvlJc w:val="left"/>
      <w:pPr>
        <w:ind w:left="3918" w:hanging="360"/>
      </w:pPr>
    </w:lvl>
    <w:lvl w:ilvl="5" w:tplc="040C001B" w:tentative="1">
      <w:start w:val="1"/>
      <w:numFmt w:val="lowerRoman"/>
      <w:lvlText w:val="%6."/>
      <w:lvlJc w:val="right"/>
      <w:pPr>
        <w:ind w:left="4638" w:hanging="180"/>
      </w:pPr>
    </w:lvl>
    <w:lvl w:ilvl="6" w:tplc="040C000F" w:tentative="1">
      <w:start w:val="1"/>
      <w:numFmt w:val="decimal"/>
      <w:lvlText w:val="%7."/>
      <w:lvlJc w:val="left"/>
      <w:pPr>
        <w:ind w:left="5358" w:hanging="360"/>
      </w:pPr>
    </w:lvl>
    <w:lvl w:ilvl="7" w:tplc="040C0019" w:tentative="1">
      <w:start w:val="1"/>
      <w:numFmt w:val="lowerLetter"/>
      <w:lvlText w:val="%8."/>
      <w:lvlJc w:val="left"/>
      <w:pPr>
        <w:ind w:left="6078" w:hanging="360"/>
      </w:pPr>
    </w:lvl>
    <w:lvl w:ilvl="8" w:tplc="040C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6F2951EA"/>
    <w:multiLevelType w:val="hybridMultilevel"/>
    <w:tmpl w:val="DD989394"/>
    <w:lvl w:ilvl="0" w:tplc="01E27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8F"/>
    <w:rsid w:val="00021A73"/>
    <w:rsid w:val="00086D0C"/>
    <w:rsid w:val="000A76AB"/>
    <w:rsid w:val="000F748D"/>
    <w:rsid w:val="00130C77"/>
    <w:rsid w:val="001655EA"/>
    <w:rsid w:val="00255F4F"/>
    <w:rsid w:val="00295D14"/>
    <w:rsid w:val="002D650B"/>
    <w:rsid w:val="002F7FCB"/>
    <w:rsid w:val="0030198F"/>
    <w:rsid w:val="003138F3"/>
    <w:rsid w:val="003557B0"/>
    <w:rsid w:val="004E3599"/>
    <w:rsid w:val="005360C5"/>
    <w:rsid w:val="005772E2"/>
    <w:rsid w:val="005C6426"/>
    <w:rsid w:val="005F69D3"/>
    <w:rsid w:val="006479F6"/>
    <w:rsid w:val="00676439"/>
    <w:rsid w:val="006938AF"/>
    <w:rsid w:val="006C76F2"/>
    <w:rsid w:val="00744736"/>
    <w:rsid w:val="008B3D00"/>
    <w:rsid w:val="008E36CE"/>
    <w:rsid w:val="00920AB2"/>
    <w:rsid w:val="00935024"/>
    <w:rsid w:val="00937D78"/>
    <w:rsid w:val="0094373E"/>
    <w:rsid w:val="009A1872"/>
    <w:rsid w:val="009C7713"/>
    <w:rsid w:val="00A35853"/>
    <w:rsid w:val="00AA44F2"/>
    <w:rsid w:val="00AD2F25"/>
    <w:rsid w:val="00B00342"/>
    <w:rsid w:val="00B76BEF"/>
    <w:rsid w:val="00B94EC6"/>
    <w:rsid w:val="00BA0F82"/>
    <w:rsid w:val="00BA6333"/>
    <w:rsid w:val="00BD5297"/>
    <w:rsid w:val="00C21ED1"/>
    <w:rsid w:val="00C35DFC"/>
    <w:rsid w:val="00C57AF5"/>
    <w:rsid w:val="00C672E7"/>
    <w:rsid w:val="00C973D0"/>
    <w:rsid w:val="00CB0129"/>
    <w:rsid w:val="00D058EA"/>
    <w:rsid w:val="00E910D9"/>
    <w:rsid w:val="00EB6333"/>
    <w:rsid w:val="00EE3806"/>
    <w:rsid w:val="00EE41B6"/>
    <w:rsid w:val="00EE41E3"/>
    <w:rsid w:val="00F07091"/>
    <w:rsid w:val="00FD492E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8131108C-FC65-4A5B-8B04-95B068E9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91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ssentiel-western">
    <w:name w:val="lessentiel-western"/>
    <w:basedOn w:val="Normal"/>
    <w:rsid w:val="00EE4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4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EE4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uiPriority w:val="20"/>
    <w:qFormat/>
    <w:rsid w:val="006479F6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F748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F748D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F7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F74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h.mohamed</dc:creator>
  <cp:lastModifiedBy>Stage</cp:lastModifiedBy>
  <cp:revision>2</cp:revision>
  <cp:lastPrinted>2018-03-15T08:07:00Z</cp:lastPrinted>
  <dcterms:created xsi:type="dcterms:W3CDTF">2018-03-20T09:11:00Z</dcterms:created>
  <dcterms:modified xsi:type="dcterms:W3CDTF">2018-03-20T09:11:00Z</dcterms:modified>
</cp:coreProperties>
</file>